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15" w:rsidRPr="000C2815" w:rsidRDefault="000C2815" w:rsidP="000C2815">
      <w:pPr>
        <w:pStyle w:val="Web"/>
        <w:ind w:firstLineChars="71" w:firstLine="370"/>
        <w:rPr>
          <w:rFonts w:ascii="華康正顏楷體W9(P)" w:eastAsia="華康正顏楷體W9(P)" w:hAnsi="Arial" w:cs="Arial" w:hint="eastAsia"/>
          <w:color w:val="333333"/>
          <w:sz w:val="52"/>
          <w:szCs w:val="52"/>
          <w:lang w:eastAsia="zh-Hans"/>
        </w:rPr>
      </w:pPr>
      <w:r>
        <w:rPr>
          <w:rStyle w:val="a4"/>
          <w:rFonts w:ascii="華康正顏楷體W9(P)" w:eastAsia="華康正顏楷體W9(P)" w:hAnsi="Trebuchet MS" w:cs="Arial" w:hint="eastAsia"/>
          <w:color w:val="000000"/>
          <w:sz w:val="52"/>
          <w:szCs w:val="52"/>
          <w:lang w:eastAsia="zh-Hans"/>
        </w:rPr>
        <w:t xml:space="preserve"> </w:t>
      </w:r>
      <w:bookmarkStart w:id="0" w:name="_GoBack"/>
      <w:bookmarkEnd w:id="0"/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52"/>
          <w:szCs w:val="52"/>
          <w:lang w:eastAsia="zh-Hans"/>
        </w:rPr>
        <w:t>第二十二屆理監事及工作人員名單</w:t>
      </w:r>
    </w:p>
    <w:p w:rsidR="000C2815" w:rsidRPr="000C2815" w:rsidRDefault="000C2815" w:rsidP="000C2815">
      <w:pPr>
        <w:pStyle w:val="Web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理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事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長：</w:t>
      </w:r>
      <w:r w:rsidRPr="000C2815">
        <w:rPr>
          <w:rStyle w:val="a4"/>
          <w:rFonts w:ascii="華康正顏楷體W9(P)" w:eastAsia="華康正顏楷體W9(P)" w:hAnsi="Trebuchet MS" w:cs="Arial" w:hint="eastAsia"/>
          <w:color w:val="0000FF"/>
          <w:sz w:val="28"/>
          <w:szCs w:val="28"/>
          <w:lang w:eastAsia="zh-Hans"/>
        </w:rPr>
        <w:t>洪千惠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常務理事：</w:t>
      </w:r>
      <w:r w:rsidRPr="000C2815">
        <w:rPr>
          <w:rStyle w:val="a4"/>
          <w:rFonts w:ascii="華康正顏楷體W9(P)" w:eastAsia="華康正顏楷體W9(P)" w:hAnsi="Trebuchet MS" w:cs="Arial" w:hint="eastAsia"/>
          <w:color w:val="0000FF"/>
          <w:sz w:val="28"/>
          <w:szCs w:val="28"/>
          <w:lang w:eastAsia="zh-Hans"/>
        </w:rPr>
        <w:t>王伊忱、劉乃彰</w:t>
      </w:r>
    </w:p>
    <w:p w:rsidR="000C2815" w:rsidRDefault="000C2815" w:rsidP="000C2815">
      <w:pPr>
        <w:pStyle w:val="Web"/>
        <w:spacing w:line="400" w:lineRule="exact"/>
        <w:rPr>
          <w:rStyle w:val="a4"/>
          <w:rFonts w:ascii="華康正顏楷體W9(P)" w:eastAsia="SimSun" w:hAnsi="Trebuchet MS" w:cs="Arial"/>
          <w:color w:val="000000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理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 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事：蘇文德、吳裕文、陳玉坤、盧椒華、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郭聰田、林獻博、侯憶亭、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>
        <w:rPr>
          <w:rStyle w:val="a4"/>
          <w:rFonts w:ascii="華康正顏楷體W9(P)" w:eastAsia="SimSun" w:hAnsi="Trebuchet MS" w:cs="Arial"/>
          <w:color w:val="000000"/>
          <w:sz w:val="28"/>
          <w:szCs w:val="28"/>
          <w:lang w:eastAsia="zh-Hans"/>
        </w:rPr>
        <w:t xml:space="preserve">         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邱顯皓、林正彥、紀錦隆、張嘉升、林明揚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常務監事：</w:t>
      </w:r>
      <w:r w:rsidRPr="000C2815">
        <w:rPr>
          <w:rStyle w:val="a4"/>
          <w:rFonts w:ascii="華康正顏楷體W9(P)" w:eastAsia="華康正顏楷體W9(P)" w:hAnsi="Trebuchet MS" w:cs="Arial" w:hint="eastAsia"/>
          <w:color w:val="0000FF"/>
          <w:sz w:val="28"/>
          <w:szCs w:val="28"/>
          <w:lang w:eastAsia="zh-Hans"/>
        </w:rPr>
        <w:t>曾季國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監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 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事：呂桂雲、馬榮華、陳</w:t>
      </w:r>
      <w:proofErr w:type="gramStart"/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旻沂</w:t>
      </w:r>
      <w:proofErr w:type="gramEnd"/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、吳正元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總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幹 事：張桂獎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副總幹事：周書羽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秘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書 組：</w:t>
      </w:r>
      <w:r w:rsidRPr="000C2815">
        <w:rPr>
          <w:rStyle w:val="a4"/>
          <w:rFonts w:ascii="華康正顏楷體W9(P)" w:eastAsia="華康正顏楷體W9(P)" w:hAnsi="Arial" w:cs="Arial" w:hint="eastAsia"/>
          <w:color w:val="000000"/>
          <w:sz w:val="28"/>
          <w:szCs w:val="28"/>
          <w:lang w:eastAsia="zh-Hans"/>
        </w:rPr>
        <w:t>藍鈺銓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聯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絡 組：</w:t>
      </w:r>
      <w:r w:rsidRPr="000C2815">
        <w:rPr>
          <w:rFonts w:ascii="華康正顏楷體W9(P)" w:eastAsia="華康正顏楷體W9(P)" w:hAnsi="Trebuchet MS" w:cs="Arial" w:hint="eastAsia"/>
          <w:color w:val="333333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周品宏、陳貞蓁、陳耀應、藍鈺銓</w:t>
      </w:r>
      <w:r w:rsidRPr="000C2815">
        <w:rPr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財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務 組：</w:t>
      </w:r>
      <w:hyperlink r:id="rId4" w:history="1">
        <w:r w:rsidRPr="000C2815">
          <w:rPr>
            <w:rStyle w:val="a3"/>
            <w:rFonts w:ascii="華康正顏楷體W9(P)" w:eastAsia="華康正顏楷體W9(P)" w:hAnsi="Trebuchet MS" w:cs="Arial" w:hint="eastAsia"/>
            <w:b/>
            <w:bCs/>
            <w:color w:val="000000"/>
            <w:sz w:val="28"/>
            <w:szCs w:val="28"/>
            <w:lang w:eastAsia="zh-Hans"/>
          </w:rPr>
          <w:t>陳立銘</w:t>
        </w:r>
      </w:hyperlink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、張瑞芬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服務組(活動)：黃大慶、陳美珠、陳信全、徐鳳禎、王鎮邦、賴昭志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、 藍鈺銓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研究組(會訊)：宋雅琳、張瑞芬、陳耀應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(網</w:t>
      </w:r>
      <w:r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   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站)：</w:t>
      </w:r>
      <w:hyperlink r:id="rId5" w:history="1">
        <w:r w:rsidRPr="000C2815">
          <w:rPr>
            <w:rStyle w:val="a3"/>
            <w:rFonts w:ascii="華康正顏楷體W9(P)" w:eastAsia="華康正顏楷體W9(P)" w:hAnsi="Trebuchet MS" w:cs="Arial" w:hint="eastAsia"/>
            <w:b/>
            <w:bCs/>
            <w:color w:val="000000"/>
            <w:sz w:val="28"/>
            <w:szCs w:val="28"/>
            <w:lang w:eastAsia="zh-Hans"/>
          </w:rPr>
          <w:t>張啟明</w:t>
        </w:r>
      </w:hyperlink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、宋雅琳、林至桓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創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8"/>
          <w:szCs w:val="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新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8"/>
          <w:szCs w:val="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開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8"/>
          <w:szCs w:val="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發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8"/>
          <w:szCs w:val="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組：</w:t>
      </w:r>
      <w:proofErr w:type="gramStart"/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張桂獎</w:t>
      </w:r>
      <w:proofErr w:type="gramEnd"/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、藍鈺銓</w:t>
      </w:r>
    </w:p>
    <w:p w:rsidR="000C2815" w:rsidRPr="000C2815" w:rsidRDefault="000C2815" w:rsidP="000C2815">
      <w:pPr>
        <w:pStyle w:val="Web"/>
        <w:spacing w:line="400" w:lineRule="exact"/>
        <w:rPr>
          <w:rFonts w:ascii="華康正顏楷體W9(P)" w:eastAsia="華康正顏楷體W9(P)" w:hAnsi="Arial" w:cs="Arial" w:hint="eastAsia"/>
          <w:color w:val="333333"/>
          <w:sz w:val="28"/>
          <w:szCs w:val="28"/>
          <w:lang w:eastAsia="zh-Hans"/>
        </w:rPr>
      </w:pP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秘</w:t>
      </w:r>
      <w:r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書</w:t>
      </w:r>
      <w:r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小</w:t>
      </w:r>
      <w:r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姐：陳麗卿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>  </w:t>
      </w:r>
      <w:r w:rsidRPr="000C2815">
        <w:rPr>
          <w:rStyle w:val="a4"/>
          <w:rFonts w:ascii="華康正顏楷體W9(P)" w:eastAsia="華康正顏楷體W9(P)" w:hAnsi="Trebuchet MS" w:cs="Arial" w:hint="eastAsia"/>
          <w:color w:val="000000"/>
          <w:sz w:val="28"/>
          <w:szCs w:val="28"/>
          <w:lang w:eastAsia="zh-Hans"/>
        </w:rPr>
        <w:t xml:space="preserve"> </w:t>
      </w:r>
    </w:p>
    <w:p w:rsidR="009A436F" w:rsidRDefault="009A436F" w:rsidP="000C2815">
      <w:pPr>
        <w:spacing w:line="400" w:lineRule="exact"/>
      </w:pPr>
    </w:p>
    <w:sectPr w:rsidR="009A436F" w:rsidSect="000C2815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5"/>
    <w:rsid w:val="000C2815"/>
    <w:rsid w:val="009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6A1DF-9653-4C47-BCCD-E9E28CF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815"/>
    <w:rPr>
      <w:color w:val="0782C1"/>
      <w:u w:val="single"/>
    </w:rPr>
  </w:style>
  <w:style w:type="paragraph" w:styleId="Web">
    <w:name w:val="Normal (Web)"/>
    <w:basedOn w:val="a"/>
    <w:uiPriority w:val="99"/>
    <w:semiHidden/>
    <w:unhideWhenUsed/>
    <w:rsid w:val="000C28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C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82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.net.tw/" TargetMode="External"/><Relationship Id="rId4" Type="http://schemas.openxmlformats.org/officeDocument/2006/relationships/hyperlink" Target="http://c2159091.pixnet.net/blog/post/48219984-%E5%B0%88%E6%A5%AD%E5%9C%98%E9%9A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254</Characters>
  <Application>Microsoft Office Word</Application>
  <DocSecurity>0</DocSecurity>
  <Lines>127</Lines>
  <Paragraphs>117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2021-09-01T05:32:00Z</dcterms:created>
  <dcterms:modified xsi:type="dcterms:W3CDTF">2021-09-01T05:40:00Z</dcterms:modified>
</cp:coreProperties>
</file>